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ED" w:rsidRPr="00D16C36" w:rsidRDefault="004F53BE">
      <w:pPr>
        <w:rPr>
          <w:b/>
          <w:bCs/>
          <w:u w:val="single"/>
        </w:rPr>
      </w:pPr>
      <w:r w:rsidRPr="00D16C36">
        <w:rPr>
          <w:b/>
          <w:bCs/>
          <w:u w:val="single"/>
        </w:rPr>
        <w:t>Tarea matemáticas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Tema 10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-Medir superficies pag 188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ej 3 y 7 pág 188 y 189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-Unidades de medida de suerficie pag 190.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ejercicios 8,9,10,11,12,13 y 14 pág 190 y 191.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TEMA 11.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-Los polígonos pág 210.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ej 20,21 y 22 pág 210 y 211.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-área de triángulos y paralelogramos pág 214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Ej 30,31 y 32 pág 214 y 215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-Área de polígonos regulares pág 216 y 217</w:t>
      </w:r>
    </w:p>
    <w:p w:rsidR="00D16C36" w:rsidRDefault="00D16C36" w:rsidP="00D16C36">
      <w:pPr>
        <w:pStyle w:val="NormalWeb"/>
        <w:spacing w:before="0" w:beforeAutospacing="0" w:after="0" w:afterAutospacing="0"/>
      </w:pPr>
      <w:r>
        <w:t>Ej 34,35, 36 y 37 pág 216 y 217</w:t>
      </w:r>
    </w:p>
    <w:p w:rsidR="00D16C36" w:rsidRDefault="00D16C36"/>
    <w:sectPr w:rsidR="00D16C36" w:rsidSect="00BD587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BE"/>
    <w:rsid w:val="004500ED"/>
    <w:rsid w:val="004F53BE"/>
    <w:rsid w:val="00BD5877"/>
    <w:rsid w:val="00D1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F8BC7"/>
  <w15:chartTrackingRefBased/>
  <w15:docId w15:val="{F3A83A94-CD94-5E4C-AD62-093359B9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C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2020-03-30T19:40:00Z</dcterms:created>
  <dcterms:modified xsi:type="dcterms:W3CDTF">2020-03-30T19:40:00Z</dcterms:modified>
</cp:coreProperties>
</file>